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default" w:ascii="Times New Roman" w:hAnsi="Times New Roman" w:eastAsia="方正小标宋简体" w:cs="Times New Roman"/>
          <w:color w:val="auto"/>
          <w:sz w:val="28"/>
          <w:szCs w:val="36"/>
          <w:lang w:val="en-US" w:eastAsia="zh-CN"/>
        </w:rPr>
      </w:pPr>
      <w:bookmarkStart w:id="0" w:name="_GoBack"/>
      <w:bookmarkEnd w:id="0"/>
      <w:r>
        <w:rPr>
          <w:rFonts w:hint="default" w:ascii="Times New Roman" w:hAnsi="Times New Roman" w:eastAsia="方正小标宋简体" w:cs="Times New Roman"/>
          <w:color w:val="auto"/>
          <w:sz w:val="28"/>
          <w:szCs w:val="36"/>
          <w:lang w:val="en-US" w:eastAsia="zh-CN"/>
        </w:rPr>
        <w:t>附件</w:t>
      </w:r>
      <w:r>
        <w:rPr>
          <w:rFonts w:hint="eastAsia" w:ascii="Times New Roman" w:hAnsi="Times New Roman" w:eastAsia="方正小标宋简体" w:cs="Times New Roman"/>
          <w:color w:val="auto"/>
          <w:sz w:val="28"/>
          <w:szCs w:val="36"/>
          <w:lang w:val="en-US" w:eastAsia="zh-CN"/>
        </w:rPr>
        <w:t>4</w:t>
      </w:r>
      <w:r>
        <w:rPr>
          <w:rFonts w:hint="default" w:ascii="Times New Roman" w:hAnsi="Times New Roman" w:eastAsia="方正小标宋简体" w:cs="Times New Roman"/>
          <w:color w:val="auto"/>
          <w:sz w:val="28"/>
          <w:szCs w:val="36"/>
          <w:lang w:val="en-US" w:eastAsia="zh-CN"/>
        </w:rPr>
        <w:t>：</w:t>
      </w:r>
    </w:p>
    <w:p>
      <w:pPr>
        <w:pStyle w:val="4"/>
        <w:keepNext w:val="0"/>
        <w:keepLines w:val="0"/>
        <w:pageBreakBefore w:val="0"/>
        <w:widowControl w:val="0"/>
        <w:kinsoku/>
        <w:wordWrap/>
        <w:overflowPunct/>
        <w:topLinePunct w:val="0"/>
        <w:autoSpaceDE w:val="0"/>
        <w:autoSpaceDN w:val="0"/>
        <w:bidi w:val="0"/>
        <w:adjustRightInd/>
        <w:snapToGrid/>
        <w:spacing w:before="0" w:line="520" w:lineRule="exact"/>
        <w:jc w:val="both"/>
        <w:textAlignment w:val="auto"/>
        <w:rPr>
          <w:rFonts w:hint="eastAsia" w:ascii="Times New Roman" w:hAnsi="Times New Roman" w:eastAsia="仿宋"/>
          <w:b/>
          <w:bCs/>
          <w:spacing w:val="-35"/>
          <w:sz w:val="32"/>
          <w:lang w:val="en-US" w:eastAsia="zh-CN"/>
        </w:rPr>
      </w:pPr>
      <w:r>
        <w:rPr>
          <w:rFonts w:hint="eastAsia" w:ascii="Times New Roman" w:hAnsi="Times New Roman" w:eastAsia="仿宋"/>
          <w:b/>
          <w:bCs/>
          <w:spacing w:val="-35"/>
          <w:sz w:val="32"/>
          <w:lang w:val="en-US" w:eastAsia="zh-CN"/>
        </w:rPr>
        <w:t>“年轮”释义（仅做设计参考）：</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255" w:afterAutospacing="0" w:line="400" w:lineRule="exact"/>
        <w:ind w:right="0"/>
        <w:textAlignment w:val="auto"/>
        <w:rPr>
          <w:rFonts w:hint="eastAsia" w:ascii="仿宋" w:hAnsi="仿宋" w:eastAsia="仿宋" w:cs="仿宋"/>
          <w:b/>
          <w:bCs/>
          <w:i w:val="0"/>
          <w:iCs w:val="0"/>
          <w:caps w:val="0"/>
          <w:color w:val="333333"/>
          <w:spacing w:val="0"/>
          <w:sz w:val="28"/>
          <w:szCs w:val="28"/>
          <w:shd w:val="clear" w:fill="FFFFFF"/>
          <w:lang w:val="en-US" w:eastAsia="zh-CN"/>
        </w:rPr>
      </w:pPr>
      <w:r>
        <w:rPr>
          <w:rFonts w:hint="eastAsia" w:ascii="仿宋" w:hAnsi="仿宋" w:eastAsia="仿宋" w:cs="仿宋"/>
          <w:b/>
          <w:bCs/>
          <w:i w:val="0"/>
          <w:iCs w:val="0"/>
          <w:caps w:val="0"/>
          <w:color w:val="333333"/>
          <w:spacing w:val="0"/>
          <w:sz w:val="28"/>
          <w:szCs w:val="28"/>
          <w:shd w:val="clear" w:fill="FFFFFF"/>
        </w:rPr>
        <w:t>年轮</w:t>
      </w:r>
      <w:r>
        <w:rPr>
          <w:rFonts w:hint="eastAsia" w:ascii="仿宋" w:hAnsi="仿宋" w:eastAsia="仿宋" w:cs="仿宋"/>
          <w:b/>
          <w:bCs/>
          <w:i w:val="0"/>
          <w:iCs w:val="0"/>
          <w:caps w:val="0"/>
          <w:color w:val="333333"/>
          <w:spacing w:val="0"/>
          <w:sz w:val="28"/>
          <w:szCs w:val="28"/>
          <w:shd w:val="clear" w:fill="FFFFFF"/>
          <w:lang w:eastAsia="zh-CN"/>
        </w:rPr>
        <w:t>的</w:t>
      </w:r>
      <w:r>
        <w:rPr>
          <w:rFonts w:hint="eastAsia" w:ascii="仿宋" w:hAnsi="仿宋" w:eastAsia="仿宋" w:cs="仿宋"/>
          <w:b/>
          <w:bCs/>
          <w:i w:val="0"/>
          <w:iCs w:val="0"/>
          <w:caps w:val="0"/>
          <w:color w:val="333333"/>
          <w:spacing w:val="0"/>
          <w:sz w:val="28"/>
          <w:szCs w:val="28"/>
          <w:shd w:val="clear" w:fill="FFFFFF"/>
          <w:lang w:val="en-US" w:eastAsia="zh-CN"/>
        </w:rPr>
        <w:t>含义</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lang w:val="en-US" w:eastAsia="zh-CN"/>
        </w:rPr>
        <w:t>年轮</w:t>
      </w:r>
      <w:r>
        <w:rPr>
          <w:rFonts w:hint="eastAsia" w:ascii="仿宋" w:hAnsi="仿宋" w:eastAsia="仿宋" w:cs="仿宋"/>
          <w:i w:val="0"/>
          <w:iCs w:val="0"/>
          <w:caps w:val="0"/>
          <w:color w:val="333333"/>
          <w:spacing w:val="0"/>
          <w:sz w:val="28"/>
          <w:szCs w:val="28"/>
          <w:shd w:val="clear" w:fill="FFFFFF"/>
        </w:rPr>
        <w:t>是指树木内的细胞和导管每年重复一次由大到小，材质由松到密的变化，从而就形成了色泽、质地不同的一圈圈环纹。多年生木本植物茎的横断面上的同心环纹。常见于温带的乔木与灌木，通常每年一轮。在温带地区年轮界限明显。热带地区由于一年内气候变化不大，年轮就不明显。</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lang w:eastAsia="zh-CN"/>
        </w:rPr>
      </w:pPr>
      <w:r>
        <w:rPr>
          <w:rFonts w:hint="eastAsia" w:ascii="仿宋" w:hAnsi="仿宋" w:eastAsia="仿宋" w:cs="仿宋"/>
          <w:i w:val="0"/>
          <w:iCs w:val="0"/>
          <w:caps w:val="0"/>
          <w:color w:val="333333"/>
          <w:spacing w:val="0"/>
          <w:sz w:val="28"/>
          <w:szCs w:val="28"/>
          <w:shd w:val="clear" w:fill="FFFFFF"/>
        </w:rPr>
        <w:t>宽度影响因素</w:t>
      </w:r>
      <w:r>
        <w:rPr>
          <w:rFonts w:hint="eastAsia" w:ascii="仿宋" w:hAnsi="仿宋" w:eastAsia="仿宋" w:cs="仿宋"/>
          <w:i w:val="0"/>
          <w:iCs w:val="0"/>
          <w:caps w:val="0"/>
          <w:color w:val="333333"/>
          <w:spacing w:val="0"/>
          <w:sz w:val="28"/>
          <w:szCs w:val="28"/>
          <w:shd w:val="clear" w:fill="FFFFFF"/>
          <w:lang w:eastAsia="zh-CN"/>
        </w:rPr>
        <w:t>：</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lang w:val="en-US" w:eastAsia="zh-CN"/>
        </w:rPr>
        <w:t>1.</w:t>
      </w:r>
      <w:r>
        <w:rPr>
          <w:rFonts w:hint="eastAsia" w:ascii="仿宋" w:hAnsi="仿宋" w:eastAsia="仿宋" w:cs="仿宋"/>
          <w:i w:val="0"/>
          <w:iCs w:val="0"/>
          <w:caps w:val="0"/>
          <w:color w:val="333333"/>
          <w:spacing w:val="0"/>
          <w:sz w:val="28"/>
          <w:szCs w:val="28"/>
          <w:shd w:val="clear" w:fill="FFFFFF"/>
        </w:rPr>
        <w:t>树种的类属：例如杨树及毛桐的年轮宽，黄杨及山茱萸的年轮就非常窄</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lang w:val="en-US" w:eastAsia="zh-CN"/>
        </w:rPr>
        <w:t>2.</w:t>
      </w:r>
      <w:r>
        <w:rPr>
          <w:rFonts w:hint="eastAsia" w:ascii="仿宋" w:hAnsi="仿宋" w:eastAsia="仿宋" w:cs="仿宋"/>
          <w:i w:val="0"/>
          <w:iCs w:val="0"/>
          <w:caps w:val="0"/>
          <w:color w:val="333333"/>
          <w:spacing w:val="0"/>
          <w:sz w:val="28"/>
          <w:szCs w:val="28"/>
          <w:shd w:val="clear" w:fill="FFFFFF"/>
        </w:rPr>
        <w:t>树木的年龄：树木在生长初期所形成的年轮是越来越宽，但以后随着树龄的增加，就逐渐变窄。</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lang w:val="en-US" w:eastAsia="zh-CN"/>
        </w:rPr>
        <w:t>3.</w:t>
      </w:r>
      <w:r>
        <w:rPr>
          <w:rFonts w:hint="eastAsia" w:ascii="仿宋" w:hAnsi="仿宋" w:eastAsia="仿宋" w:cs="仿宋"/>
          <w:i w:val="0"/>
          <w:iCs w:val="0"/>
          <w:caps w:val="0"/>
          <w:color w:val="333333"/>
          <w:spacing w:val="0"/>
          <w:sz w:val="28"/>
          <w:szCs w:val="28"/>
          <w:shd w:val="clear" w:fill="FFFFFF"/>
        </w:rPr>
        <w:t>生活环境条件：例如格林兰北纬73度处的灌木桦，它的平均年轮宽度不超过0.05公厘，但在欧洲中部某一植物园中，同一种小桦的平均年轮宽度则为1.6公厘。</w:t>
      </w:r>
    </w:p>
    <w:p>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jc w:val="both"/>
        <w:textAlignment w:val="auto"/>
        <w:rPr>
          <w:rFonts w:hint="eastAsia" w:ascii="仿宋" w:hAnsi="仿宋" w:eastAsia="仿宋" w:cs="仿宋"/>
          <w:b/>
          <w:bCs/>
          <w:i w:val="0"/>
          <w:iCs w:val="0"/>
          <w:caps w:val="0"/>
          <w:color w:val="333333"/>
          <w:spacing w:val="0"/>
          <w:sz w:val="28"/>
          <w:szCs w:val="28"/>
          <w:shd w:val="clear" w:fill="FFFFFF"/>
        </w:rPr>
      </w:pPr>
      <w:r>
        <w:rPr>
          <w:rFonts w:hint="eastAsia" w:ascii="仿宋" w:hAnsi="仿宋" w:eastAsia="仿宋" w:cs="仿宋"/>
          <w:b/>
          <w:bCs/>
          <w:i w:val="0"/>
          <w:iCs w:val="0"/>
          <w:caps w:val="0"/>
          <w:color w:val="333333"/>
          <w:spacing w:val="0"/>
          <w:sz w:val="28"/>
          <w:szCs w:val="28"/>
          <w:shd w:val="clear" w:fill="FFFFFF"/>
          <w:lang w:val="en-US" w:eastAsia="zh-CN"/>
        </w:rPr>
        <w:t>年轮的作用</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一个年轮，代表着树木经历了所生长环境的一个周期的变化，通常气候是一年一个变化周期，所以年轮也就代表着一年中生长的情况。根据年轮的数目，可以推知树木的年龄，用来考查森林的年代。不过，由于形成层有节奏的活动，有时在一年内也有可以产生几个年轮的，这叫假年轮。像柑属类植物，一年可产生3个年轮。所以，由年轮计算出来的树木年龄，只能是一个近似的数字。</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年轮不仅可用来计算树木的年龄，从年轮的宽窄，还可以了解树木的经历以及树木与当时当地环境气候的关系。在优越的气候条件下，树木生长得好，木质部增加得多，年轮也就较宽；反之年轮就窄。比如，树木最初的年轮一般比较宽，这表示那时它年轻力壮，生长力强；有时一棵树在出现了很多窄的年轮以后，突然出现有宽的年轮，这表明在年轮宽的那几年，环境气候适宜，对树木生长有利。</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另外，还有偏心的年轮，那就说明树木两边环境不同，通常在北半球朝南的一面较朝北的一面温暖，所以朝南的一面年轮较宽。地球上气温冷暖的变化，大致有一个200 年一循环的周期。通过对年轮变化规律的研究和对它所在地区气候的了解，对制定超长期气象预报及制定造林规划等方面，都有指导意义。</w:t>
      </w:r>
    </w:p>
    <w:p>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ind w:left="0" w:leftChars="0" w:firstLine="0" w:firstLineChars="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b/>
          <w:bCs/>
          <w:i w:val="0"/>
          <w:iCs w:val="0"/>
          <w:caps w:val="0"/>
          <w:color w:val="333333"/>
          <w:spacing w:val="0"/>
          <w:sz w:val="28"/>
          <w:szCs w:val="28"/>
          <w:shd w:val="clear" w:fill="FFFFFF"/>
        </w:rPr>
        <w:t>年轮的形成</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leftChars="0"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当气温、水分等环境条件较好的时候（春季和夏季），植物生长较快，形成的木质部比较稀疏，颜色较浅；当气温、水分等环境条件比较恶劣的时候（秋季和冬季），形成的木质部较密，颜色较深。一个年轮包括当年的春材和秋材。</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leftChars="0"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年轮既反映了植物的生长状况，也反映出当时的环境条件是否有利于植物的生长。春季，形成层恢复活动时，分化的管胞或导管分子的直径较大，数目多，壁较薄，木纤维数量较少，因此材质显得比较疏松，这部分木材称为早材（或叫春材）。到了同年夏秋季节，形成层的活动逐渐减弱，分化的细胞直径较小，数量少，而木纤维的数量相应增多，这部分的材质比较致密，称晚材（或称夏材）。</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520" w:lineRule="exact"/>
        <w:ind w:leftChars="0" w:right="0" w:rightChars="0" w:firstLine="584" w:firstLineChars="200"/>
        <w:jc w:val="both"/>
        <w:textAlignment w:val="auto"/>
        <w:rPr>
          <w:rFonts w:hint="eastAsia"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rPr>
        <w:t>在双子叶植物的环孔材（如栎树和白蜡树）中，早材部分的导管分子直径明显增大，而晚材的导管分子相当小。散孔材与裸子植物木材中，由早材至晚材的变化，一般是逐渐进行的，即没有显著界线。不过在上一个生长季的晚材与下一个生长季的早材之间却存在着明显的界线。从根与茎的木材横断面上看，这些界线成了一圈圈同心圆的环纹，每一个包括早材和晚材两部分的圆环，称为生长轮（或称生长层）。</w:t>
      </w:r>
    </w:p>
    <w:sectPr>
      <w:footerReference r:id="rId5" w:type="default"/>
      <w:footerReference r:id="rId6" w:type="even"/>
      <w:pgSz w:w="11910" w:h="16840"/>
      <w:pgMar w:top="2098" w:right="1474" w:bottom="1984" w:left="1587" w:header="720" w:footer="720" w:gutter="0"/>
      <w:pgNumType w:fmt="numberInDash"/>
      <w:cols w:space="0" w:num="1"/>
      <w:rtlGutter w:val="0"/>
      <w:docGrid w:type="linesAndChars" w:linePitch="579" w:charSpace="26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9A8D0BD-E1AD-4768-BC24-089189FFF3AD}"/>
  </w:font>
  <w:font w:name="Arial">
    <w:panose1 w:val="020B0604020202020204"/>
    <w:charset w:val="01"/>
    <w:family w:val="swiss"/>
    <w:pitch w:val="default"/>
    <w:sig w:usb0="E0002EFF" w:usb1="C000785B" w:usb2="00000009" w:usb3="00000000" w:csb0="400001FF" w:csb1="FFFF0000"/>
    <w:embedRegular r:id="rId2" w:fontKey="{C4FF93F5-6235-4DA6-B99F-2C1E95C7110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E515772-2591-44D2-9944-4D2DBA9B457B}"/>
  </w:font>
  <w:font w:name="Symbol">
    <w:panose1 w:val="05050102010706020507"/>
    <w:charset w:val="02"/>
    <w:family w:val="roman"/>
    <w:pitch w:val="default"/>
    <w:sig w:usb0="00000000" w:usb1="00000000" w:usb2="00000000" w:usb3="00000000" w:csb0="80000000" w:csb1="00000000"/>
    <w:embedRegular r:id="rId4" w:fontKey="{E3EC4D13-213C-4696-A4E4-4FBFAAB8B6E4}"/>
  </w:font>
  <w:font w:name="Calibri">
    <w:panose1 w:val="020F0502020204030204"/>
    <w:charset w:val="00"/>
    <w:family w:val="swiss"/>
    <w:pitch w:val="default"/>
    <w:sig w:usb0="E4002EFF" w:usb1="C000247B" w:usb2="00000009" w:usb3="00000000" w:csb0="200001FF" w:csb1="00000000"/>
    <w:embedRegular r:id="rId5" w:fontKey="{301813D8-21D7-425D-90BF-41E2FB254FB6}"/>
  </w:font>
  <w:font w:name="楷体">
    <w:panose1 w:val="02010609060101010101"/>
    <w:charset w:val="86"/>
    <w:family w:val="swiss"/>
    <w:pitch w:val="default"/>
    <w:sig w:usb0="800002BF" w:usb1="38CF7CFA" w:usb2="00000016" w:usb3="00000000" w:csb0="00040001" w:csb1="00000000"/>
  </w:font>
  <w:font w:name="华光小标宋_CNKI">
    <w:panose1 w:val="02000500000000000000"/>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6" w:fontKey="{AD0AD22C-5C1A-4868-9481-01504A111376}"/>
  </w:font>
  <w:font w:name="方正小标宋简体">
    <w:panose1 w:val="02000000000000000000"/>
    <w:charset w:val="86"/>
    <w:family w:val="auto"/>
    <w:pitch w:val="default"/>
    <w:sig w:usb0="A00002BF" w:usb1="184F6CFA" w:usb2="00000012" w:usb3="00000000" w:csb0="00040001" w:csb1="00000000"/>
    <w:embedRegular r:id="rId7" w:fontKey="{950F11D1-8CF3-4431-99D6-8B097BD7C66E}"/>
  </w:font>
  <w:font w:name="方正仿宋简体">
    <w:panose1 w:val="02000000000000000000"/>
    <w:charset w:val="86"/>
    <w:family w:val="auto"/>
    <w:pitch w:val="default"/>
    <w:sig w:usb0="A00002BF" w:usb1="184F6CFA" w:usb2="00000012" w:usb3="00000000" w:csb0="00040001" w:csb1="00000000"/>
  </w:font>
  <w:font w:name="方正大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8" w:fontKey="{03A794F4-FC73-43DA-9ACF-B199B35F47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2600325</wp:posOffset>
              </wp:positionH>
              <wp:positionV relativeFrom="paragraph">
                <wp:posOffset>-91440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rPr>
                              <w:sz w:val="28"/>
                              <w:szCs w:val="40"/>
                            </w:rPr>
                          </w:pP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75pt;margin-top:-7.2pt;height:144pt;width:144pt;mso-position-horizontal-relative:margin;mso-wrap-style:none;z-index:251659264;mso-width-relative:page;mso-height-relative:page;" filled="f" stroked="f" coordsize="21600,21600" o:gfxdata="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uenq72QAAAAsBAAAPAAAAAAAAAAEAIAAAACIAAABkcnMvZG93bnJldi54&#10;bWxQSwECFAAUAAAACACHTuJAuow4KzICAABhBAAADgAAAAAAAAABACAAAAAoAQAAZHJzL2Uyb0Rv&#10;Yy54bWxQSwUGAAAAAAYABgBZAQAAzAUAAAAA&#10;">
              <v:fill on="f" focussize="0,0"/>
              <v:stroke on="f" weight="0.5pt"/>
              <v:imagedata o:title=""/>
              <o:lock v:ext="edit" aspectratio="f"/>
              <v:textbox inset="0mm,0mm,0mm,0mm" style="mso-fit-shape-to-text:t;">
                <w:txbxContent>
                  <w:p>
                    <w:pPr>
                      <w:pStyle w:val="5"/>
                      <w:jc w:val="center"/>
                      <w:rPr>
                        <w:sz w:val="28"/>
                        <w:szCs w:val="40"/>
                      </w:rPr>
                    </w:pP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-83820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40"/>
                            </w:rPr>
                          </w:pPr>
                          <w:r>
                            <w:rPr>
                              <w:sz w:val="28"/>
                              <w:szCs w:val="40"/>
                            </w:rPr>
                            <w:fldChar w:fldCharType="begin"/>
                          </w:r>
                          <w:r>
                            <w:rPr>
                              <w:sz w:val="28"/>
                              <w:szCs w:val="40"/>
                            </w:rPr>
                            <w:instrText xml:space="preserve"> PAGE  \* MERGEFORMAT </w:instrText>
                          </w:r>
                          <w:r>
                            <w:rPr>
                              <w:sz w:val="28"/>
                              <w:szCs w:val="40"/>
                            </w:rPr>
                            <w:fldChar w:fldCharType="separate"/>
                          </w:r>
                          <w:r>
                            <w:rPr>
                              <w:sz w:val="28"/>
                              <w:szCs w:val="40"/>
                            </w:rPr>
                            <w:t>- 2 -</w:t>
                          </w:r>
                          <w:r>
                            <w:rPr>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6.6pt;height:144pt;width:144pt;mso-position-horizontal-relative:margin;mso-wrap-style:none;z-index:251660288;mso-width-relative:page;mso-height-relative:page;" filled="f" stroked="f" coordsize="21600,21600" o:gfxdata="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PhiuA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pPr>
                      <w:pStyle w:val="5"/>
                      <w:rPr>
                        <w:sz w:val="28"/>
                        <w:szCs w:val="40"/>
                      </w:rPr>
                    </w:pPr>
                    <w:r>
                      <w:rPr>
                        <w:sz w:val="28"/>
                        <w:szCs w:val="40"/>
                      </w:rPr>
                      <w:fldChar w:fldCharType="begin"/>
                    </w:r>
                    <w:r>
                      <w:rPr>
                        <w:sz w:val="28"/>
                        <w:szCs w:val="40"/>
                      </w:rPr>
                      <w:instrText xml:space="preserve"> PAGE  \* MERGEFORMAT </w:instrText>
                    </w:r>
                    <w:r>
                      <w:rPr>
                        <w:sz w:val="28"/>
                        <w:szCs w:val="40"/>
                      </w:rPr>
                      <w:fldChar w:fldCharType="separate"/>
                    </w:r>
                    <w:r>
                      <w:rPr>
                        <w:sz w:val="28"/>
                        <w:szCs w:val="40"/>
                      </w:rPr>
                      <w:t>- 2 -</w:t>
                    </w:r>
                    <w:r>
                      <w:rPr>
                        <w:sz w:val="28"/>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F5F6A"/>
    <w:multiLevelType w:val="singleLevel"/>
    <w:tmpl w:val="A6BF5F6A"/>
    <w:lvl w:ilvl="0" w:tentative="0">
      <w:start w:val="2"/>
      <w:numFmt w:val="chineseCounting"/>
      <w:suff w:val="nothing"/>
      <w:lvlText w:val="（%1）"/>
      <w:lvlJc w:val="left"/>
      <w:rPr>
        <w:rFonts w:hint="eastAsia"/>
      </w:rPr>
    </w:lvl>
  </w:abstractNum>
  <w:abstractNum w:abstractNumId="1">
    <w:nsid w:val="C0EF4EDE"/>
    <w:multiLevelType w:val="singleLevel"/>
    <w:tmpl w:val="C0EF4ED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720"/>
  <w:evenAndOddHeaders w:val="1"/>
  <w:drawingGridHorizontalSpacing w:val="116"/>
  <w:drawingGridVerticalSpacing w:val="29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906E1"/>
    <w:rsid w:val="06E849B6"/>
    <w:rsid w:val="086F0139"/>
    <w:rsid w:val="09281A84"/>
    <w:rsid w:val="09E76346"/>
    <w:rsid w:val="0A27573A"/>
    <w:rsid w:val="0B5F1461"/>
    <w:rsid w:val="128E141E"/>
    <w:rsid w:val="1322047E"/>
    <w:rsid w:val="17B82D77"/>
    <w:rsid w:val="17BA775C"/>
    <w:rsid w:val="21D4766E"/>
    <w:rsid w:val="227F2CA6"/>
    <w:rsid w:val="275865FD"/>
    <w:rsid w:val="28BD3127"/>
    <w:rsid w:val="28C94C2D"/>
    <w:rsid w:val="292D350C"/>
    <w:rsid w:val="2C893AA3"/>
    <w:rsid w:val="2D525AF0"/>
    <w:rsid w:val="2D7B719D"/>
    <w:rsid w:val="2F2A7510"/>
    <w:rsid w:val="325944FC"/>
    <w:rsid w:val="33756E2E"/>
    <w:rsid w:val="35567D2B"/>
    <w:rsid w:val="355D6CD6"/>
    <w:rsid w:val="36E33D1A"/>
    <w:rsid w:val="36FA386B"/>
    <w:rsid w:val="3B182C9D"/>
    <w:rsid w:val="3D7F20DB"/>
    <w:rsid w:val="3DCA003E"/>
    <w:rsid w:val="3EDC080D"/>
    <w:rsid w:val="3FA05CDE"/>
    <w:rsid w:val="47C54BA4"/>
    <w:rsid w:val="48C400DF"/>
    <w:rsid w:val="48F65F2A"/>
    <w:rsid w:val="4A264D6E"/>
    <w:rsid w:val="4D5B199E"/>
    <w:rsid w:val="4DA627EB"/>
    <w:rsid w:val="549E000F"/>
    <w:rsid w:val="55F778B8"/>
    <w:rsid w:val="56B121F6"/>
    <w:rsid w:val="575408EA"/>
    <w:rsid w:val="59EA6BEE"/>
    <w:rsid w:val="5ADC573B"/>
    <w:rsid w:val="5F436DD0"/>
    <w:rsid w:val="620C6BE4"/>
    <w:rsid w:val="66320717"/>
    <w:rsid w:val="667279C2"/>
    <w:rsid w:val="68A35D74"/>
    <w:rsid w:val="69314BB6"/>
    <w:rsid w:val="69B61265"/>
    <w:rsid w:val="69E82F15"/>
    <w:rsid w:val="6AB45292"/>
    <w:rsid w:val="71E8188D"/>
    <w:rsid w:val="72CE4EF7"/>
    <w:rsid w:val="732B7230"/>
    <w:rsid w:val="75804A1A"/>
    <w:rsid w:val="77171C81"/>
    <w:rsid w:val="7A753810"/>
    <w:rsid w:val="7ACF4BC8"/>
    <w:rsid w:val="7E2A51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楷体" w:hAnsi="楷体" w:eastAsia="楷体" w:cs="楷体"/>
      <w:sz w:val="22"/>
      <w:szCs w:val="22"/>
      <w:lang w:val="en-US" w:eastAsia="zh-CN" w:bidi="ar-SA"/>
    </w:rPr>
  </w:style>
  <w:style w:type="paragraph" w:styleId="2">
    <w:name w:val="heading 1"/>
    <w:basedOn w:val="1"/>
    <w:next w:val="1"/>
    <w:qFormat/>
    <w:uiPriority w:val="1"/>
    <w:pPr>
      <w:ind w:left="2442"/>
      <w:outlineLvl w:val="1"/>
    </w:pPr>
    <w:rPr>
      <w:rFonts w:ascii="楷体" w:hAnsi="楷体" w:eastAsia="楷体" w:cs="楷体"/>
      <w:b/>
      <w:bCs/>
      <w:sz w:val="32"/>
      <w:szCs w:val="32"/>
      <w:lang w:val="en-US" w:eastAsia="zh-CN" w:bidi="ar-SA"/>
    </w:rPr>
  </w:style>
  <w:style w:type="paragraph" w:styleId="3">
    <w:name w:val="heading 2"/>
    <w:basedOn w:val="1"/>
    <w:next w:val="1"/>
    <w:qFormat/>
    <w:uiPriority w:val="1"/>
    <w:pPr>
      <w:ind w:left="2442"/>
      <w:outlineLvl w:val="2"/>
    </w:pPr>
    <w:rPr>
      <w:rFonts w:ascii="楷体" w:hAnsi="楷体" w:eastAsia="楷体" w:cs="楷体"/>
      <w:sz w:val="32"/>
      <w:szCs w:val="32"/>
      <w:lang w:val="en-US" w:eastAsia="zh-CN" w:bidi="ar-SA"/>
    </w:rPr>
  </w:style>
  <w:style w:type="character" w:default="1" w:styleId="11">
    <w:name w:val="Default Paragraph Font"/>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楷体" w:hAnsi="楷体" w:eastAsia="楷体" w:cs="楷体"/>
      <w:sz w:val="30"/>
      <w:szCs w:val="30"/>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qFormat/>
    <w:uiPriority w:val="1"/>
    <w:pPr>
      <w:spacing w:before="23"/>
      <w:ind w:left="769"/>
    </w:pPr>
    <w:rPr>
      <w:rFonts w:ascii="楷体" w:hAnsi="楷体" w:eastAsia="楷体" w:cs="楷体"/>
      <w:b/>
      <w:bCs/>
      <w:sz w:val="36"/>
      <w:szCs w:val="36"/>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character" w:styleId="13">
    <w:name w:val="annotation reference"/>
    <w:basedOn w:val="11"/>
    <w:qFormat/>
    <w:uiPriority w:val="0"/>
    <w:rPr>
      <w:sz w:val="21"/>
      <w:szCs w:val="21"/>
    </w:rPr>
  </w:style>
  <w:style w:type="table" w:customStyle="1" w:styleId="14">
    <w:name w:val="Table Normal"/>
    <w:unhideWhenUsed/>
    <w:qFormat/>
    <w:uiPriority w:val="2"/>
    <w:tblPr>
      <w:tblCellMar>
        <w:top w:w="0" w:type="dxa"/>
        <w:left w:w="0" w:type="dxa"/>
        <w:bottom w:w="0" w:type="dxa"/>
        <w:right w:w="0" w:type="dxa"/>
      </w:tblCellMar>
    </w:tblPr>
  </w:style>
  <w:style w:type="paragraph" w:customStyle="1" w:styleId="15">
    <w:name w:val="List Paragraph"/>
    <w:basedOn w:val="1"/>
    <w:qFormat/>
    <w:uiPriority w:val="1"/>
    <w:pPr>
      <w:ind w:left="220" w:right="589"/>
    </w:pPr>
    <w:rPr>
      <w:rFonts w:ascii="楷体" w:hAnsi="楷体" w:eastAsia="楷体" w:cs="楷体"/>
      <w:lang w:val="en-US" w:eastAsia="zh-CN" w:bidi="ar-SA"/>
    </w:rPr>
  </w:style>
  <w:style w:type="paragraph" w:customStyle="1" w:styleId="16">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spPr>
      <a:bodyPr rot="0" vertOverflow="overflow" horzOverflow="overflow" vert="horz" wrap="square" lIns="0" tIns="0" rIns="0" bIns="0" numCol="1" spcCol="0" rtlCol="0" fromWordArt="0" anchor="ctr"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TotalTime>12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2021-05-28T13:01:00Z</dcterms:created>
  <dc:creator>王 鑫淼</dc:creator>
  <cp:lastModifiedBy>Iseria</cp:lastModifiedBy>
  <cp:lastPrinted>2022-03-09T03:13:00Z</cp:lastPrinted>
  <dcterms:modified xsi:type="dcterms:W3CDTF">2022-03-09T13:04:46Z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Creator">
    <vt:lpwstr>WPS 文字</vt:lpwstr>
  </property>
  <property fmtid="{D5CDD505-2E9C-101B-9397-08002B2CF9AE}" pid="4" name="LastSaved">
    <vt:filetime>2021-05-28T00:00:00Z</vt:filetime>
  </property>
  <property fmtid="{D5CDD505-2E9C-101B-9397-08002B2CF9AE}" pid="5" name="KSOProductBuildVer">
    <vt:lpwstr>2052-11.1.0.11365</vt:lpwstr>
  </property>
  <property fmtid="{D5CDD505-2E9C-101B-9397-08002B2CF9AE}" pid="6" name="ICV">
    <vt:lpwstr>02FC31C1AB284DA18807F08D3B513840</vt:lpwstr>
  </property>
  <property fmtid="{D5CDD505-2E9C-101B-9397-08002B2CF9AE}" pid="7" name="KSOSaveFontToCloudKey">
    <vt:lpwstr>30064051_embed</vt:lpwstr>
  </property>
</Properties>
</file>