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outlineLvl w:val="0"/>
        <w:rPr>
          <w:rFonts w:hint="default" w:ascii="Times New Roman" w:hAnsi="Times New Roman" w:eastAsia="方正小标宋简体" w:cs="Times New Roman"/>
          <w:color w:val="auto"/>
          <w:sz w:val="28"/>
          <w:szCs w:val="36"/>
          <w:lang w:val="en-US" w:eastAsia="zh-CN"/>
        </w:rPr>
      </w:pPr>
      <w:r>
        <w:rPr>
          <w:rFonts w:hint="default" w:ascii="Times New Roman" w:hAnsi="Times New Roman" w:eastAsia="方正小标宋简体" w:cs="Times New Roman"/>
          <w:color w:val="auto"/>
          <w:sz w:val="28"/>
          <w:szCs w:val="36"/>
          <w:lang w:val="en-US" w:eastAsia="zh-CN"/>
        </w:rPr>
        <w:t>附件3：</w:t>
      </w:r>
    </w:p>
    <w:p>
      <w:pPr>
        <w:jc w:val="center"/>
        <w:rPr>
          <w:rFonts w:hint="default" w:ascii="Times New Roman" w:hAnsi="Times New Roman" w:cs="Times New Roman"/>
          <w:b/>
          <w:bCs/>
          <w:color w:val="auto"/>
          <w:sz w:val="36"/>
          <w:szCs w:val="44"/>
        </w:rPr>
      </w:pPr>
      <w:r>
        <w:rPr>
          <w:rFonts w:hint="default" w:ascii="Times New Roman" w:hAnsi="Times New Roman" w:cs="Times New Roman"/>
          <w:b/>
          <w:bCs/>
          <w:color w:val="auto"/>
          <w:sz w:val="36"/>
          <w:szCs w:val="44"/>
        </w:rPr>
        <w:t>材料科学与工程学院院史</w:t>
      </w:r>
    </w:p>
    <w:p>
      <w:pPr>
        <w:numPr>
          <w:ilvl w:val="0"/>
          <w:numId w:val="1"/>
        </w:numPr>
        <w:snapToGrid w:val="0"/>
        <w:spacing w:line="288" w:lineRule="auto"/>
        <w:rPr>
          <w:rFonts w:hint="default" w:ascii="Times New Roman" w:hAnsi="Times New Roman" w:eastAsia="仿宋" w:cs="Times New Roman"/>
          <w:b/>
          <w:bCs/>
          <w:color w:val="auto"/>
          <w:sz w:val="28"/>
          <w:szCs w:val="28"/>
        </w:rPr>
      </w:pPr>
      <w:r>
        <w:rPr>
          <w:rFonts w:hint="default" w:ascii="Times New Roman" w:hAnsi="Times New Roman" w:eastAsia="仿宋" w:cs="Times New Roman"/>
          <w:b/>
          <w:bCs/>
          <w:color w:val="auto"/>
          <w:sz w:val="28"/>
          <w:szCs w:val="28"/>
        </w:rPr>
        <w:t>学院的历史沿革</w:t>
      </w:r>
    </w:p>
    <w:p>
      <w:pPr>
        <w:snapToGrid w:val="0"/>
        <w:spacing w:line="288" w:lineRule="auto"/>
        <w:ind w:firstLine="584" w:firstLineChars="200"/>
        <w:rPr>
          <w:rFonts w:hint="default" w:ascii="Times New Roman" w:hAnsi="Times New Roman" w:eastAsia="仿宋" w:cs="Times New Roman"/>
          <w:color w:val="auto"/>
          <w:sz w:val="28"/>
          <w:szCs w:val="28"/>
        </w:rPr>
      </w:pPr>
      <w:r>
        <w:rPr>
          <w:rFonts w:hint="default" w:ascii="Times New Roman" w:hAnsi="Times New Roman" w:eastAsia="仿宋" w:cs="Times New Roman"/>
          <w:color w:val="auto"/>
          <w:sz w:val="28"/>
          <w:szCs w:val="28"/>
        </w:rPr>
        <w:t>材料科学与工程学院是“林业工程”世界一流建设学科的主建学院，是国内木材和林产品加工领域综合实力最强的院系之一。学院的前身为1952年东北林学院成立时设立的森林工业系中的木材工业专业。1953年木材工业专业改为木材机械加工专业，1954年成立林工研究班，1957年成立木材加工工业系，1960年成立林产化学系，1964年两系合并成立木材利用系，1978年更名为林产工业系，1993年成立林产工业学院。结合国内外科学技术发展趋势，2001年学院更名为材料科学与工程学院。学院拥有教育部重点实验室、国家林草局重点实验室、省级实验教学示范中心等科研教学平台，是国内最早设立“林业工程”博士后流动站的单位。</w:t>
      </w:r>
    </w:p>
    <w:p>
      <w:pPr>
        <w:numPr>
          <w:ilvl w:val="0"/>
          <w:numId w:val="1"/>
        </w:numPr>
        <w:snapToGrid w:val="0"/>
        <w:spacing w:line="288" w:lineRule="auto"/>
        <w:rPr>
          <w:rFonts w:hint="default" w:ascii="Times New Roman" w:hAnsi="Times New Roman" w:eastAsia="仿宋" w:cs="Times New Roman"/>
          <w:b/>
          <w:bCs/>
          <w:color w:val="auto"/>
          <w:sz w:val="28"/>
          <w:szCs w:val="28"/>
        </w:rPr>
      </w:pPr>
      <w:r>
        <w:rPr>
          <w:rFonts w:hint="default" w:ascii="Times New Roman" w:hAnsi="Times New Roman" w:eastAsia="仿宋" w:cs="Times New Roman"/>
          <w:b/>
          <w:bCs/>
          <w:color w:val="auto"/>
          <w:sz w:val="28"/>
          <w:szCs w:val="28"/>
        </w:rPr>
        <w:t>学院的专业沿革与发展情况</w:t>
      </w:r>
    </w:p>
    <w:p>
      <w:pPr>
        <w:snapToGrid w:val="0"/>
        <w:spacing w:line="288" w:lineRule="auto"/>
        <w:ind w:firstLine="584" w:firstLineChars="200"/>
        <w:rPr>
          <w:rFonts w:hint="default" w:ascii="Times New Roman" w:hAnsi="Times New Roman" w:eastAsia="仿宋" w:cs="Times New Roman"/>
          <w:color w:val="auto"/>
          <w:sz w:val="28"/>
          <w:szCs w:val="28"/>
        </w:rPr>
      </w:pPr>
      <w:r>
        <w:rPr>
          <w:rFonts w:hint="default" w:ascii="Times New Roman" w:hAnsi="Times New Roman" w:eastAsia="仿宋" w:cs="Times New Roman"/>
          <w:color w:val="auto"/>
          <w:sz w:val="28"/>
          <w:szCs w:val="28"/>
        </w:rPr>
        <w:t>木材科学与工程专业始建于建校初期，原名木材机械加工专业，1990年更名为木材加工专业，1998年更名为木材科学与工程专业。林产化工专业始建于1958年，1960年成立林产化学系，后与木材机械加工专业共同支撑成立木材利用系。1986年设立家具设计与制造专业，1998年更名为艺术设计专业（室内与家具设计方向）。1987年设立制浆造纸工程专业，1998年国家专业调整时更名为轻化工程专业。2001年设立高分子材料与工程专业，2002年设立材料化学专业，2019年设立家具设计与工程专业。截至目前，学院拥有7个本科专业，其中木材科学与工程为国家级卓越工程师、林产化工为卓越农林人才教育培养计划项目试点专业。木材科学与工程和林产化工两个专业于2019年被批准为国家一流专业建设点，高分子材料与工程专业通过工程教育专业认证。</w:t>
      </w:r>
    </w:p>
    <w:p>
      <w:pPr>
        <w:numPr>
          <w:ilvl w:val="0"/>
          <w:numId w:val="1"/>
        </w:numPr>
        <w:snapToGrid w:val="0"/>
        <w:spacing w:line="288" w:lineRule="auto"/>
        <w:rPr>
          <w:rFonts w:hint="default" w:ascii="Times New Roman" w:hAnsi="Times New Roman" w:eastAsia="仿宋" w:cs="Times New Roman"/>
          <w:b/>
          <w:bCs/>
          <w:color w:val="auto"/>
          <w:sz w:val="28"/>
          <w:szCs w:val="28"/>
        </w:rPr>
      </w:pPr>
      <w:r>
        <w:rPr>
          <w:rFonts w:hint="default" w:ascii="Times New Roman" w:hAnsi="Times New Roman" w:eastAsia="仿宋" w:cs="Times New Roman"/>
          <w:b/>
          <w:bCs/>
          <w:color w:val="auto"/>
          <w:sz w:val="28"/>
          <w:szCs w:val="28"/>
        </w:rPr>
        <w:t>学院的学科建设情况</w:t>
      </w:r>
    </w:p>
    <w:p>
      <w:pPr>
        <w:snapToGrid w:val="0"/>
        <w:spacing w:line="288" w:lineRule="auto"/>
        <w:ind w:firstLine="584" w:firstLineChars="200"/>
        <w:rPr>
          <w:rFonts w:hint="default" w:ascii="Times New Roman" w:hAnsi="Times New Roman" w:eastAsia="仿宋" w:cs="Times New Roman"/>
          <w:b/>
          <w:bCs/>
          <w:color w:val="auto"/>
          <w:sz w:val="28"/>
          <w:szCs w:val="28"/>
        </w:rPr>
      </w:pPr>
      <w:r>
        <w:rPr>
          <w:rFonts w:hint="default" w:ascii="Times New Roman" w:hAnsi="Times New Roman" w:eastAsia="仿宋" w:cs="Times New Roman"/>
          <w:color w:val="auto"/>
          <w:sz w:val="28"/>
          <w:szCs w:val="28"/>
        </w:rPr>
        <w:t>学院现拥有国家重点一级学科1个、博士点学科方向4个、硕士点学科方向5个、专业学位领域硕士点3个。“林业工程”为“世界一流”建设学科，评为国家重点一级学科，在全国学科评估中多次排名第一，隶属8个二级学科中4个在材料学院，分别是“木材科学与技术”和“林产化学加工工程”两个国家重点二级学科，“生物材料工程”省级重点学科，“生物质复合材料”学科。学院也拥有以林产品设计与工程为特色的“设计学”国家一级学科。学院还拥有材料与化工专业学位类别中“林业工程”和“轻工技术与工程”2个领域专业硕士学位授予权，艺术设计学位类别中1个专业硕士学位授予权。学院建立了以林业工程为优势，“木材科学与技术”和“林产化学加工工程”为特色的优势学科群，形成了本科、硕士、博士贯通培养新格局。</w:t>
      </w:r>
    </w:p>
    <w:p>
      <w:pPr>
        <w:numPr>
          <w:ilvl w:val="0"/>
          <w:numId w:val="1"/>
        </w:numPr>
        <w:snapToGrid w:val="0"/>
        <w:spacing w:line="288" w:lineRule="auto"/>
        <w:rPr>
          <w:rFonts w:hint="default" w:ascii="Times New Roman" w:hAnsi="Times New Roman" w:eastAsia="仿宋" w:cs="Times New Roman"/>
          <w:b/>
          <w:bCs/>
          <w:color w:val="auto"/>
          <w:sz w:val="28"/>
          <w:szCs w:val="28"/>
        </w:rPr>
      </w:pPr>
      <w:r>
        <w:rPr>
          <w:rFonts w:hint="default" w:ascii="Times New Roman" w:hAnsi="Times New Roman" w:eastAsia="仿宋" w:cs="Times New Roman"/>
          <w:b/>
          <w:bCs/>
          <w:color w:val="auto"/>
          <w:sz w:val="28"/>
          <w:szCs w:val="28"/>
        </w:rPr>
        <w:t>学院的师资队伍情况</w:t>
      </w:r>
    </w:p>
    <w:p>
      <w:pPr>
        <w:snapToGrid w:val="0"/>
        <w:spacing w:line="288" w:lineRule="auto"/>
        <w:ind w:firstLine="584" w:firstLineChars="200"/>
        <w:rPr>
          <w:rFonts w:hint="default" w:ascii="Times New Roman" w:hAnsi="Times New Roman" w:eastAsia="仿宋" w:cs="Times New Roman"/>
          <w:b/>
          <w:bCs/>
          <w:color w:val="auto"/>
          <w:sz w:val="28"/>
          <w:szCs w:val="28"/>
        </w:rPr>
      </w:pPr>
      <w:r>
        <w:rPr>
          <w:rFonts w:hint="default" w:ascii="Times New Roman" w:hAnsi="Times New Roman" w:eastAsia="仿宋" w:cs="Times New Roman"/>
          <w:color w:val="auto"/>
          <w:sz w:val="28"/>
          <w:szCs w:val="28"/>
        </w:rPr>
        <w:t>学院现有教职工120人，其中教授47人，副教授34人；博士生导师45人，硕士生导师78人。其中，中国工程院院士2人（其中双聘1人）、长江学者特聘教授3人、国家杰出青年基金获得者1人、国家“万人计划”科技创新领军人才2人、“百千万人才工程”国家级人选2人、国家级有突出贡献的专家1人、享受国务院政府特殊津贴专家7人、长江学者青年学者3人、国家自然科学基金优秀青年基金（含海外）获得者4人、“万人计划”青年拔尖人才4人、“全国百篇优秀博士论文”获得者2人、中国科协托举人才3人、黑龙江省杰出青年科学基金获得者8人、“龙江学者”8人、入选教育部“新世纪优秀人才计划”9人、国家林草局科技创新领军人才1人和青年拔尖人才2人。“生物质材料科学与技术创新研究团队”入选黑龙江省头雁团队、“木材科学与技术”与“林产化学加工工程”入选黑龙江省级领军人才梯队，“林业生物质资源高效利用”国家林草局林草科技创新团队。</w:t>
      </w:r>
    </w:p>
    <w:p>
      <w:pPr>
        <w:numPr>
          <w:ilvl w:val="0"/>
          <w:numId w:val="1"/>
        </w:numPr>
        <w:snapToGrid w:val="0"/>
        <w:spacing w:line="288" w:lineRule="auto"/>
        <w:rPr>
          <w:rFonts w:hint="default" w:ascii="Times New Roman" w:hAnsi="Times New Roman" w:eastAsia="仿宋" w:cs="Times New Roman"/>
          <w:b/>
          <w:bCs/>
          <w:color w:val="auto"/>
          <w:sz w:val="28"/>
          <w:szCs w:val="28"/>
        </w:rPr>
      </w:pPr>
      <w:r>
        <w:rPr>
          <w:rFonts w:hint="default" w:ascii="Times New Roman" w:hAnsi="Times New Roman" w:eastAsia="仿宋" w:cs="Times New Roman"/>
          <w:b/>
          <w:bCs/>
          <w:color w:val="auto"/>
          <w:sz w:val="28"/>
          <w:szCs w:val="28"/>
        </w:rPr>
        <w:t>学院的办学理念与人才培养</w:t>
      </w:r>
    </w:p>
    <w:p>
      <w:pPr>
        <w:snapToGrid w:val="0"/>
        <w:spacing w:line="288" w:lineRule="auto"/>
        <w:ind w:firstLine="584" w:firstLineChars="200"/>
        <w:rPr>
          <w:rFonts w:hint="default" w:ascii="Times New Roman" w:hAnsi="Times New Roman" w:eastAsia="仿宋" w:cs="Times New Roman"/>
          <w:color w:val="auto"/>
          <w:sz w:val="28"/>
          <w:szCs w:val="28"/>
        </w:rPr>
      </w:pPr>
      <w:r>
        <w:rPr>
          <w:rFonts w:hint="default" w:ascii="Times New Roman" w:hAnsi="Times New Roman" w:eastAsia="仿宋" w:cs="Times New Roman"/>
          <w:color w:val="auto"/>
          <w:sz w:val="28"/>
          <w:szCs w:val="28"/>
        </w:rPr>
        <w:t>学院全面贯彻党的十九大、习近平总书记系列重要讲话及全国教育大会精神，落实“立德树人”人才培养根本任务。在学校中长期发展规划纲要的引领下，全面深化教育改革，以强林兴林为己任，与时俱进，以学科建设为抓手，以平台建设为载体，不断提高人才培养、科学研究、师资队伍建设、社会服务、文化传承创新和国际交流合作的能力和水平。以改革促发展、以质量求生存，激发办学活力、加强内涵建设，不断深化综合改革，培养具有创新精神和创业能力的林产工业高级专门人才。建校70年来，学院已毕业学生30000余人，现有在校本科生1635人，硕士研究生602人，博士研究生207人，在站博士后28人。</w:t>
      </w:r>
    </w:p>
    <w:p>
      <w:pPr>
        <w:numPr>
          <w:ilvl w:val="0"/>
          <w:numId w:val="1"/>
        </w:numPr>
        <w:snapToGrid w:val="0"/>
        <w:spacing w:line="288" w:lineRule="auto"/>
        <w:rPr>
          <w:rFonts w:hint="default" w:ascii="Times New Roman" w:hAnsi="Times New Roman" w:eastAsia="仿宋" w:cs="Times New Roman"/>
          <w:b/>
          <w:bCs/>
          <w:color w:val="auto"/>
          <w:sz w:val="28"/>
          <w:szCs w:val="28"/>
        </w:rPr>
      </w:pPr>
      <w:r>
        <w:rPr>
          <w:rFonts w:hint="default" w:ascii="Times New Roman" w:hAnsi="Times New Roman" w:eastAsia="仿宋" w:cs="Times New Roman"/>
          <w:b/>
          <w:bCs/>
          <w:color w:val="auto"/>
          <w:sz w:val="28"/>
          <w:szCs w:val="28"/>
        </w:rPr>
        <w:t>学院的科学研究</w:t>
      </w:r>
    </w:p>
    <w:p>
      <w:pPr>
        <w:snapToGrid w:val="0"/>
        <w:spacing w:line="288" w:lineRule="auto"/>
        <w:ind w:firstLine="584" w:firstLineChars="200"/>
        <w:rPr>
          <w:rFonts w:hint="default" w:ascii="Times New Roman" w:hAnsi="Times New Roman" w:eastAsia="仿宋" w:cs="Times New Roman"/>
          <w:color w:val="auto"/>
          <w:sz w:val="28"/>
          <w:szCs w:val="28"/>
        </w:rPr>
      </w:pPr>
      <w:r>
        <w:rPr>
          <w:rFonts w:hint="default" w:ascii="Times New Roman" w:hAnsi="Times New Roman" w:eastAsia="仿宋" w:cs="Times New Roman"/>
          <w:color w:val="auto"/>
          <w:sz w:val="28"/>
          <w:szCs w:val="28"/>
        </w:rPr>
        <w:t>遵循“四个面向”科研方向指引，紧密结合国家战略需求，瞄准学科前沿，促进跨学科、多领域的交叉融合，以木质材料仿生与智能响应、生物质材料改良与高效利用、林业生物质高效转化等为优势与特色，多学科研究方向协同发展，提高生物质材料科学与技术研究水平，推进产业升级，保障木材安全，助力乡村振兴和碳达峰碳中和国家战略目标达成。2016年以来学院共承担各类纵向科研项目300余项，其中国家科技支撑项目、国家重点研发项目、国家自然科学基金、国家高层次人才项目、国家级推广等项目共102项；承担横向课题127项，科研项目总经费达1.5亿元。科技成果转让22项，转让金额1300余万元。共出版各类著作38部，发表高水平研究论文600余篇，获授权发明专利187件。</w:t>
      </w:r>
    </w:p>
    <w:p>
      <w:pPr>
        <w:numPr>
          <w:ilvl w:val="0"/>
          <w:numId w:val="1"/>
        </w:numPr>
        <w:snapToGrid w:val="0"/>
        <w:spacing w:line="288" w:lineRule="auto"/>
        <w:rPr>
          <w:rFonts w:hint="default" w:ascii="Times New Roman" w:hAnsi="Times New Roman" w:cs="Times New Roman"/>
          <w:b/>
          <w:bCs/>
          <w:color w:val="auto"/>
          <w:sz w:val="28"/>
          <w:szCs w:val="28"/>
        </w:rPr>
      </w:pPr>
      <w:r>
        <w:rPr>
          <w:rFonts w:hint="default" w:ascii="Times New Roman" w:hAnsi="Times New Roman" w:eastAsia="仿宋" w:cs="Times New Roman"/>
          <w:b/>
          <w:bCs/>
          <w:color w:val="auto"/>
          <w:sz w:val="28"/>
          <w:szCs w:val="28"/>
        </w:rPr>
        <w:t>学院的党建和学生工作</w:t>
      </w:r>
    </w:p>
    <w:p>
      <w:pPr>
        <w:snapToGrid w:val="0"/>
        <w:spacing w:line="288" w:lineRule="auto"/>
        <w:ind w:firstLine="584" w:firstLineChars="200"/>
        <w:rPr>
          <w:rFonts w:hint="default" w:ascii="Times New Roman" w:hAnsi="Times New Roman" w:eastAsia="仿宋" w:cs="Times New Roman"/>
          <w:color w:val="auto"/>
          <w:sz w:val="28"/>
          <w:szCs w:val="28"/>
        </w:rPr>
      </w:pPr>
      <w:r>
        <w:rPr>
          <w:rFonts w:hint="default" w:ascii="Times New Roman" w:hAnsi="Times New Roman" w:eastAsia="仿宋" w:cs="Times New Roman"/>
          <w:color w:val="auto"/>
          <w:sz w:val="28"/>
          <w:szCs w:val="28"/>
        </w:rPr>
        <w:t>学院党委以习近平新时代中国特色社会主义思想为指导，推进学院各项事业健康稳定发展。坚持弘扬新时代教师道德风尚，打造出了师德高尚的优秀教师队伍；树立“大人才观”的人才队伍建设理念，坚持引、育、稳三步走，打出了党委、支部、党员共同发力的组合拳；坚持抓基层强基础，以“党建+教学科研”服务生态文明为特色，《光明日报》以《带着情感务党建、心怀大爱育人才》为题、黑龙江省委权威期刊《奋斗》以《努力打造研学一流的“生态”党支部》为题，先后进行了重点报道，产生了良好的社会影响。</w:t>
      </w:r>
    </w:p>
    <w:p>
      <w:pPr>
        <w:numPr>
          <w:ilvl w:val="255"/>
          <w:numId w:val="0"/>
        </w:numPr>
        <w:snapToGrid w:val="0"/>
        <w:spacing w:line="288" w:lineRule="auto"/>
        <w:ind w:firstLine="584" w:firstLineChars="200"/>
        <w:rPr>
          <w:rStyle w:val="13"/>
          <w:rFonts w:hint="default" w:ascii="Times New Roman" w:hAnsi="Times New Roman" w:eastAsia="仿宋" w:cs="Times New Roman"/>
          <w:color w:val="auto"/>
          <w:sz w:val="28"/>
          <w:szCs w:val="28"/>
        </w:rPr>
      </w:pPr>
      <w:r>
        <w:rPr>
          <w:rFonts w:hint="default" w:ascii="Times New Roman" w:hAnsi="Times New Roman" w:eastAsia="仿宋" w:cs="Times New Roman"/>
          <w:color w:val="auto"/>
          <w:sz w:val="28"/>
          <w:szCs w:val="28"/>
        </w:rPr>
        <w:t>学院在学生工作中，</w:t>
      </w:r>
      <w:r>
        <w:rPr>
          <w:rFonts w:hint="default" w:ascii="Times New Roman" w:hAnsi="Times New Roman" w:eastAsia="仿宋" w:cs="Times New Roman"/>
          <w:bCs/>
          <w:color w:val="auto"/>
          <w:sz w:val="28"/>
          <w:szCs w:val="28"/>
        </w:rPr>
        <w:t>坚持德育为先，</w:t>
      </w:r>
      <w:r>
        <w:rPr>
          <w:rFonts w:hint="default" w:ascii="Times New Roman" w:hAnsi="Times New Roman" w:eastAsia="仿宋" w:cs="Times New Roman"/>
          <w:color w:val="auto"/>
          <w:sz w:val="28"/>
          <w:szCs w:val="28"/>
        </w:rPr>
        <w:t>制订实施《林业工程一流学科德育工作实施方案》，打造出了具有材料思政品牌特色的“一流人才成长培养体系”。培养了出一批以</w:t>
      </w:r>
      <w:r>
        <w:rPr>
          <w:rFonts w:hint="default" w:ascii="Times New Roman" w:hAnsi="Times New Roman" w:eastAsia="仿宋" w:cs="Times New Roman"/>
          <w:color w:val="auto"/>
          <w:kern w:val="0"/>
          <w:sz w:val="28"/>
          <w:szCs w:val="28"/>
        </w:rPr>
        <w:t>国家“海外高层次专家”</w:t>
      </w:r>
      <w:r>
        <w:rPr>
          <w:rFonts w:hint="default" w:ascii="Times New Roman" w:hAnsi="Times New Roman" w:eastAsia="仿宋" w:cs="Times New Roman"/>
          <w:color w:val="auto"/>
          <w:sz w:val="28"/>
          <w:szCs w:val="28"/>
        </w:rPr>
        <w:t>王洪学、全军气象水文大比武冠军学生王超、扎根基层献身林草事业的</w:t>
      </w:r>
      <w:r>
        <w:rPr>
          <w:rFonts w:hint="default" w:ascii="Times New Roman" w:hAnsi="Times New Roman" w:eastAsia="仿宋" w:cs="Times New Roman"/>
          <w:color w:val="auto"/>
          <w:kern w:val="0"/>
          <w:sz w:val="28"/>
          <w:szCs w:val="28"/>
        </w:rPr>
        <w:t>扶贫先进工作者蒲华林</w:t>
      </w:r>
      <w:r>
        <w:rPr>
          <w:rFonts w:hint="default" w:ascii="Times New Roman" w:hAnsi="Times New Roman" w:eastAsia="仿宋" w:cs="Times New Roman"/>
          <w:color w:val="auto"/>
          <w:sz w:val="28"/>
          <w:szCs w:val="28"/>
        </w:rPr>
        <w:t>等为代表的爱党爱国爱行业、独立博学敢担当的一流人才，教育部网站《一线采风》栏目进行了专题报道。</w:t>
      </w:r>
    </w:p>
    <w:p>
      <w:pPr>
        <w:numPr>
          <w:ilvl w:val="0"/>
          <w:numId w:val="1"/>
        </w:numPr>
        <w:snapToGrid w:val="0"/>
        <w:spacing w:line="288" w:lineRule="auto"/>
        <w:rPr>
          <w:rStyle w:val="13"/>
          <w:rFonts w:hint="default" w:ascii="Times New Roman" w:hAnsi="Times New Roman" w:cs="Times New Roman"/>
          <w:b/>
          <w:bCs/>
          <w:color w:val="auto"/>
          <w:sz w:val="28"/>
          <w:szCs w:val="28"/>
        </w:rPr>
      </w:pPr>
      <w:r>
        <w:rPr>
          <w:rFonts w:hint="default" w:ascii="Times New Roman" w:hAnsi="Times New Roman" w:eastAsia="仿宋" w:cs="Times New Roman"/>
          <w:b/>
          <w:bCs/>
          <w:color w:val="auto"/>
          <w:sz w:val="28"/>
          <w:szCs w:val="28"/>
        </w:rPr>
        <w:t>学院的特色文化</w:t>
      </w:r>
    </w:p>
    <w:p>
      <w:pPr>
        <w:numPr>
          <w:ilvl w:val="255"/>
          <w:numId w:val="0"/>
        </w:numPr>
        <w:snapToGrid w:val="0"/>
        <w:spacing w:line="288" w:lineRule="auto"/>
        <w:ind w:firstLine="584" w:firstLineChars="200"/>
        <w:rPr>
          <w:rFonts w:hint="default" w:ascii="Times New Roman" w:hAnsi="Times New Roman" w:eastAsia="仿宋" w:cs="Times New Roman"/>
          <w:color w:val="auto"/>
          <w:sz w:val="28"/>
          <w:szCs w:val="28"/>
        </w:rPr>
      </w:pPr>
      <w:r>
        <w:rPr>
          <w:rFonts w:hint="default" w:ascii="Times New Roman" w:hAnsi="Times New Roman" w:eastAsia="仿宋" w:cs="Times New Roman"/>
          <w:color w:val="auto"/>
          <w:sz w:val="28"/>
          <w:szCs w:val="28"/>
        </w:rPr>
        <w:t>学院在近70年的办学过程中，秉承“团结、拼搏、求实、创新”的院风，在李坚院士“教科相长，立德树人”的院训指引下，进一步凝练出了“立新、崇德、博学、笃行”的材料精神。从学科缔造者葛明裕、朱政贤先生开始，学院教师队伍特别重视传承和弘扬爱国主义精神，形成了材料人“六代传承、五代同堂”的奋斗力量，构建了东林“林工人”精神谱系。正是在这样的精神感召下，一批海内外优秀学子扎根东林，已成长为学科中坚力量；大批校友主动捐资助学回馈母校，设立“年轮校友基金”“桃李不言助学金”等10多个资助项目；学院教师在这样浓郁的爱国氛围和和谐环境中，献身林业教育事业，多人获得黑龙江省“道德模范”“最美教师”“教师年度人物”等荣誉称号。</w:t>
      </w:r>
    </w:p>
    <w:p>
      <w:pPr>
        <w:snapToGrid w:val="0"/>
        <w:spacing w:line="288" w:lineRule="auto"/>
        <w:rPr>
          <w:rFonts w:hint="default" w:ascii="Times New Roman" w:hAnsi="Times New Roman" w:eastAsia="仿宋" w:cs="Times New Roman"/>
          <w:b/>
          <w:bCs/>
          <w:color w:val="auto"/>
          <w:sz w:val="28"/>
          <w:szCs w:val="28"/>
        </w:rPr>
      </w:pPr>
      <w:r>
        <w:rPr>
          <w:rFonts w:hint="default" w:ascii="Times New Roman" w:hAnsi="Times New Roman" w:eastAsia="仿宋" w:cs="Times New Roman"/>
          <w:b/>
          <w:bCs/>
          <w:color w:val="auto"/>
          <w:sz w:val="28"/>
          <w:szCs w:val="28"/>
        </w:rPr>
        <w:t>9.学院的获奖情况</w:t>
      </w:r>
    </w:p>
    <w:p>
      <w:pPr>
        <w:snapToGrid w:val="0"/>
        <w:spacing w:line="288" w:lineRule="auto"/>
        <w:ind w:firstLine="584" w:firstLineChars="200"/>
        <w:rPr>
          <w:rFonts w:hint="default" w:ascii="Times New Roman" w:hAnsi="Times New Roman" w:eastAsia="仿宋" w:cs="Times New Roman"/>
          <w:color w:val="auto"/>
          <w:sz w:val="28"/>
          <w:szCs w:val="28"/>
        </w:rPr>
      </w:pPr>
      <w:r>
        <w:rPr>
          <w:rFonts w:hint="default" w:ascii="Times New Roman" w:hAnsi="Times New Roman" w:eastAsia="仿宋" w:cs="Times New Roman"/>
          <w:color w:val="auto"/>
          <w:sz w:val="28"/>
          <w:szCs w:val="28"/>
        </w:rPr>
        <w:t>学院全体师生在新时代新思想指引下，经过多年的不懈努力取得了多项傲人成绩。学院以李坚院士为主要负责人的生物质材料研究创新团队获评“全国工人先锋号”、林木资源高效利用团队入选“全国高校黄大年式教师团队”，木材科学与技术党支部获评“全国党建工作样板支部”。学院团委多次获评“五四红旗团委”，林化学生团支部获评“全国活力团支部”，培养的优秀学子先后获得“中国大学生年度人物”提名奖、“林科十佳大学生”称号及“梁希优秀学子奖”等。在教学及科研领域，近年来获得国家、部、省、地市级奖励20余项，包括国家技术发明奖二等奖1项，国家科技进步二等奖2项，黑龙江省自然科学一等奖7项、技术发明一等奖3项、科技进步一等奖1项，梁希林业科学技术奖技术发明一等奖1项。</w:t>
      </w:r>
    </w:p>
    <w:p>
      <w:pPr>
        <w:snapToGrid w:val="0"/>
        <w:spacing w:line="288" w:lineRule="auto"/>
        <w:rPr>
          <w:rFonts w:hint="default" w:ascii="Times New Roman" w:hAnsi="Times New Roman" w:eastAsia="仿宋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b/>
          <w:bCs/>
          <w:color w:val="auto"/>
          <w:sz w:val="28"/>
          <w:szCs w:val="28"/>
        </w:rPr>
        <w:t>10.学院的未来规划与发展目标</w:t>
      </w:r>
    </w:p>
    <w:p>
      <w:pPr>
        <w:snapToGrid w:val="0"/>
        <w:spacing w:line="288" w:lineRule="auto"/>
        <w:ind w:firstLine="584" w:firstLineChars="200"/>
        <w:contextualSpacing/>
        <w:textAlignment w:val="baseline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default" w:ascii="Times New Roman" w:hAnsi="Times New Roman" w:eastAsia="仿宋" w:cs="Times New Roman"/>
          <w:color w:val="auto"/>
          <w:sz w:val="28"/>
          <w:szCs w:val="28"/>
        </w:rPr>
        <w:t>坚持以习近平新时代中国特色社会主义思想为指导，全面落实立德树人根本任务，以高等教育内涵式发展为主线，以国家双一流学科建设为统领和抓手，努力推进“三全育人”实践，为产业培养一批拔尖创新人才；加强“四有”好老师培养，打造一个具有国际影响力的人才高地；坚持“四个面向”，推进“顶天立地”的科学研究，在特色方向引领基础前沿，在关键技术方面支撑产业转型升级。矢志建成以林业工程为优势、多学科协调发展，综合实力国内同类院系领先，国际上有重要影响的高水平学院。</w:t>
      </w:r>
      <w:bookmarkStart w:id="0" w:name="_GoBack"/>
      <w:bookmarkEnd w:id="0"/>
    </w:p>
    <w:sectPr>
      <w:footerReference r:id="rId5" w:type="default"/>
      <w:footerReference r:id="rId6" w:type="even"/>
      <w:pgSz w:w="11910" w:h="16840"/>
      <w:pgMar w:top="2098" w:right="1474" w:bottom="1984" w:left="1587" w:header="720" w:footer="720" w:gutter="0"/>
      <w:pgNumType w:fmt="numberInDash"/>
      <w:cols w:space="0" w:num="1"/>
      <w:rtlGutter w:val="0"/>
      <w:docGrid w:type="linesAndChars" w:linePitch="579" w:charSpace="263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  <w:embedRegular r:id="rId1" w:fontKey="{AEDF81BB-4BCD-475A-9511-DBEBBCB747EC}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2" w:fontKey="{E05E0515-E582-4403-98F8-4C12E3CEFD2A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  <w:embedRegular r:id="rId3" w:fontKey="{992871A8-DEA4-4E38-863C-1088FA93A50A}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  <w:embedRegular r:id="rId4" w:fontKey="{2195CF28-8533-4953-A976-4F04688F547C}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5" w:fontKey="{3EC5C598-7B71-4517-BC96-AE3E14AB0DC4}"/>
  </w:font>
  <w:font w:name="楷体">
    <w:panose1 w:val="02010609060101010101"/>
    <w:charset w:val="86"/>
    <w:family w:val="swiss"/>
    <w:pitch w:val="default"/>
    <w:sig w:usb0="800002BF" w:usb1="38CF7CFA" w:usb2="00000016" w:usb3="00000000" w:csb0="00040001" w:csb1="00000000"/>
  </w:font>
  <w:font w:name="华光小标宋_CNKI">
    <w:panose1 w:val="02000500000000000000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6" w:fontKey="{4BD1C58C-137E-4A77-B586-3ECC5C9DD8B3}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7" w:fontKey="{982BA6A3-BC7D-4F13-9E0A-2800B20CEB43}"/>
  </w:font>
  <w:font w:name="方正仿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大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jc w:val="center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2600325</wp:posOffset>
              </wp:positionH>
              <wp:positionV relativeFrom="paragraph">
                <wp:posOffset>-91440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5"/>
                            <w:jc w:val="center"/>
                            <w:rPr>
                              <w:sz w:val="28"/>
                              <w:szCs w:val="40"/>
                            </w:rPr>
                          </w:pPr>
                          <w:r>
                            <w:rPr>
                              <w:sz w:val="28"/>
                              <w:szCs w:val="40"/>
                            </w:rPr>
                            <w:fldChar w:fldCharType="begin"/>
                          </w:r>
                          <w:r>
                            <w:rPr>
                              <w:sz w:val="28"/>
                              <w:szCs w:val="40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8"/>
                              <w:szCs w:val="40"/>
                            </w:rPr>
                            <w:fldChar w:fldCharType="separate"/>
                          </w:r>
                          <w:r>
                            <w:rPr>
                              <w:sz w:val="28"/>
                              <w:szCs w:val="40"/>
                            </w:rPr>
                            <w:t>1</w:t>
                          </w:r>
                          <w:r>
                            <w:rPr>
                              <w:sz w:val="28"/>
                              <w:szCs w:val="4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204.75pt;margin-top:-7.2pt;height:144pt;width:144pt;mso-position-horizontal-relative:margin;mso-wrap-style:none;z-index:251659264;mso-width-relative:page;mso-height-relative:page;" filled="f" stroked="f" coordsize="21600,21600" o:gfxdata="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  <w:jc w:val="center"/>
                      <w:rPr>
                        <w:sz w:val="28"/>
                        <w:szCs w:val="40"/>
                      </w:rPr>
                    </w:pPr>
                    <w:r>
                      <w:rPr>
                        <w:sz w:val="28"/>
                        <w:szCs w:val="40"/>
                      </w:rPr>
                      <w:fldChar w:fldCharType="begin"/>
                    </w:r>
                    <w:r>
                      <w:rPr>
                        <w:sz w:val="28"/>
                        <w:szCs w:val="40"/>
                      </w:rPr>
                      <w:instrText xml:space="preserve"> PAGE  \* MERGEFORMAT </w:instrText>
                    </w:r>
                    <w:r>
                      <w:rPr>
                        <w:sz w:val="28"/>
                        <w:szCs w:val="40"/>
                      </w:rPr>
                      <w:fldChar w:fldCharType="separate"/>
                    </w:r>
                    <w:r>
                      <w:rPr>
                        <w:sz w:val="28"/>
                        <w:szCs w:val="40"/>
                      </w:rPr>
                      <w:t>1</w:t>
                    </w:r>
                    <w:r>
                      <w:rPr>
                        <w:sz w:val="28"/>
                        <w:szCs w:val="40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posOffset>0</wp:posOffset>
              </wp:positionH>
              <wp:positionV relativeFrom="paragraph">
                <wp:posOffset>-83820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5"/>
                            <w:rPr>
                              <w:sz w:val="28"/>
                              <w:szCs w:val="40"/>
                            </w:rPr>
                          </w:pPr>
                          <w:r>
                            <w:rPr>
                              <w:sz w:val="28"/>
                              <w:szCs w:val="40"/>
                            </w:rPr>
                            <w:fldChar w:fldCharType="begin"/>
                          </w:r>
                          <w:r>
                            <w:rPr>
                              <w:sz w:val="28"/>
                              <w:szCs w:val="40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8"/>
                              <w:szCs w:val="40"/>
                            </w:rPr>
                            <w:fldChar w:fldCharType="separate"/>
                          </w:r>
                          <w:r>
                            <w:rPr>
                              <w:sz w:val="28"/>
                              <w:szCs w:val="40"/>
                            </w:rPr>
                            <w:t>- 2 -</w:t>
                          </w:r>
                          <w:r>
                            <w:rPr>
                              <w:sz w:val="28"/>
                              <w:szCs w:val="4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0pt;margin-top:-6.6pt;height:144pt;width:144pt;mso-position-horizontal-relative:margin;mso-wrap-style:none;z-index:251660288;mso-width-relative:page;mso-height-relative:page;" filled="f" stroked="f" coordsize="21600,21600" o:gfxdata="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APhiuA1gAAAAgBAAAPAAAAAAAAAAEAIAAAACIAAABkcnMvZG93bnJldi54bWxQ&#10;SwECFAAUAAAACACHTuJAf46tETICAABhBAAADgAAAAAAAAABACAAAAAlAQAAZHJzL2Uyb0RvYy54&#10;bWxQSwUGAAAAAAYABgBZAQAAy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  <w:rPr>
                        <w:sz w:val="28"/>
                        <w:szCs w:val="40"/>
                      </w:rPr>
                    </w:pPr>
                    <w:r>
                      <w:rPr>
                        <w:sz w:val="28"/>
                        <w:szCs w:val="40"/>
                      </w:rPr>
                      <w:fldChar w:fldCharType="begin"/>
                    </w:r>
                    <w:r>
                      <w:rPr>
                        <w:sz w:val="28"/>
                        <w:szCs w:val="40"/>
                      </w:rPr>
                      <w:instrText xml:space="preserve"> PAGE  \* MERGEFORMAT </w:instrText>
                    </w:r>
                    <w:r>
                      <w:rPr>
                        <w:sz w:val="28"/>
                        <w:szCs w:val="40"/>
                      </w:rPr>
                      <w:fldChar w:fldCharType="separate"/>
                    </w:r>
                    <w:r>
                      <w:rPr>
                        <w:sz w:val="28"/>
                        <w:szCs w:val="40"/>
                      </w:rPr>
                      <w:t>- 2 -</w:t>
                    </w:r>
                    <w:r>
                      <w:rPr>
                        <w:sz w:val="28"/>
                        <w:szCs w:val="40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0E23322"/>
    <w:multiLevelType w:val="singleLevel"/>
    <w:tmpl w:val="80E23322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bordersDoNotSurroundHeader w:val="0"/>
  <w:bordersDoNotSurroundFooter w:val="0"/>
  <w:documentProtection w:enforcement="0"/>
  <w:defaultTabStop w:val="720"/>
  <w:evenAndOddHeaders w:val="1"/>
  <w:drawingGridHorizontalSpacing w:val="116"/>
  <w:drawingGridVerticalSpacing w:val="29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ulTrailSpace/>
    <w:doNotExpandShiftReturn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5D906E1"/>
    <w:rsid w:val="06E849B6"/>
    <w:rsid w:val="086F0139"/>
    <w:rsid w:val="09281A84"/>
    <w:rsid w:val="09E76346"/>
    <w:rsid w:val="0A27573A"/>
    <w:rsid w:val="0B5F1461"/>
    <w:rsid w:val="128E141E"/>
    <w:rsid w:val="1322047E"/>
    <w:rsid w:val="17B82D77"/>
    <w:rsid w:val="17BA775C"/>
    <w:rsid w:val="1ACB2527"/>
    <w:rsid w:val="21D4766E"/>
    <w:rsid w:val="227F2CA6"/>
    <w:rsid w:val="275865FD"/>
    <w:rsid w:val="28BD3127"/>
    <w:rsid w:val="28C94C2D"/>
    <w:rsid w:val="292D350C"/>
    <w:rsid w:val="2C893AA3"/>
    <w:rsid w:val="2D525AF0"/>
    <w:rsid w:val="2D7B719D"/>
    <w:rsid w:val="2F2A7510"/>
    <w:rsid w:val="325944FC"/>
    <w:rsid w:val="33756E2E"/>
    <w:rsid w:val="35567D2B"/>
    <w:rsid w:val="355D6CD6"/>
    <w:rsid w:val="36E33D1A"/>
    <w:rsid w:val="36FA386B"/>
    <w:rsid w:val="3B182C9D"/>
    <w:rsid w:val="3D7F20DB"/>
    <w:rsid w:val="3EDC080D"/>
    <w:rsid w:val="3FA05CDE"/>
    <w:rsid w:val="47C54BA4"/>
    <w:rsid w:val="48C400DF"/>
    <w:rsid w:val="48F65F2A"/>
    <w:rsid w:val="4A264D6E"/>
    <w:rsid w:val="4D5B199E"/>
    <w:rsid w:val="4DA627EB"/>
    <w:rsid w:val="549E000F"/>
    <w:rsid w:val="55F778B8"/>
    <w:rsid w:val="56B121F6"/>
    <w:rsid w:val="575408EA"/>
    <w:rsid w:val="59EA6BEE"/>
    <w:rsid w:val="5ADC573B"/>
    <w:rsid w:val="5F436DD0"/>
    <w:rsid w:val="620C6BE4"/>
    <w:rsid w:val="66320717"/>
    <w:rsid w:val="667279C2"/>
    <w:rsid w:val="68A35D74"/>
    <w:rsid w:val="69314BB6"/>
    <w:rsid w:val="69B61265"/>
    <w:rsid w:val="69E82F15"/>
    <w:rsid w:val="6AB45292"/>
    <w:rsid w:val="71E8188D"/>
    <w:rsid w:val="72CE4EF7"/>
    <w:rsid w:val="732B7230"/>
    <w:rsid w:val="75804A1A"/>
    <w:rsid w:val="77171C81"/>
    <w:rsid w:val="7A753810"/>
    <w:rsid w:val="7ACF4BC8"/>
    <w:rsid w:val="7E2A513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nhideWhenUsed="0" w:uiPriority="1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楷体" w:hAnsi="楷体" w:eastAsia="楷体" w:cs="楷体"/>
      <w:sz w:val="22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1"/>
    <w:pPr>
      <w:ind w:left="2442"/>
      <w:outlineLvl w:val="1"/>
    </w:pPr>
    <w:rPr>
      <w:rFonts w:ascii="楷体" w:hAnsi="楷体" w:eastAsia="楷体" w:cs="楷体"/>
      <w:b/>
      <w:bCs/>
      <w:sz w:val="32"/>
      <w:szCs w:val="32"/>
      <w:lang w:val="en-US" w:eastAsia="zh-CN" w:bidi="ar-SA"/>
    </w:rPr>
  </w:style>
  <w:style w:type="paragraph" w:styleId="3">
    <w:name w:val="heading 2"/>
    <w:basedOn w:val="1"/>
    <w:next w:val="1"/>
    <w:qFormat/>
    <w:uiPriority w:val="1"/>
    <w:pPr>
      <w:ind w:left="2442"/>
      <w:outlineLvl w:val="2"/>
    </w:pPr>
    <w:rPr>
      <w:rFonts w:ascii="楷体" w:hAnsi="楷体" w:eastAsia="楷体" w:cs="楷体"/>
      <w:sz w:val="32"/>
      <w:szCs w:val="32"/>
      <w:lang w:val="en-US" w:eastAsia="zh-CN" w:bidi="ar-SA"/>
    </w:rPr>
  </w:style>
  <w:style w:type="character" w:default="1" w:styleId="11">
    <w:name w:val="Default Paragraph Font"/>
    <w:unhideWhenUsed/>
    <w:qFormat/>
    <w:uiPriority w:val="1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1"/>
    <w:rPr>
      <w:rFonts w:ascii="楷体" w:hAnsi="楷体" w:eastAsia="楷体" w:cs="楷体"/>
      <w:sz w:val="30"/>
      <w:szCs w:val="30"/>
      <w:lang w:val="en-US" w:eastAsia="zh-CN" w:bidi="ar-SA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8">
    <w:name w:val="Title"/>
    <w:basedOn w:val="1"/>
    <w:qFormat/>
    <w:uiPriority w:val="1"/>
    <w:pPr>
      <w:spacing w:before="23"/>
      <w:ind w:left="769"/>
    </w:pPr>
    <w:rPr>
      <w:rFonts w:ascii="楷体" w:hAnsi="楷体" w:eastAsia="楷体" w:cs="楷体"/>
      <w:b/>
      <w:bCs/>
      <w:sz w:val="36"/>
      <w:szCs w:val="36"/>
      <w:lang w:val="en-US" w:eastAsia="zh-CN" w:bidi="ar-SA"/>
    </w:rPr>
  </w:style>
  <w:style w:type="table" w:styleId="10">
    <w:name w:val="Table Grid"/>
    <w:basedOn w:val="9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Hyperlink"/>
    <w:basedOn w:val="11"/>
    <w:qFormat/>
    <w:uiPriority w:val="0"/>
    <w:rPr>
      <w:color w:val="0000FF"/>
      <w:u w:val="single"/>
    </w:rPr>
  </w:style>
  <w:style w:type="character" w:styleId="13">
    <w:name w:val="annotation reference"/>
    <w:basedOn w:val="11"/>
    <w:qFormat/>
    <w:uiPriority w:val="0"/>
    <w:rPr>
      <w:sz w:val="21"/>
      <w:szCs w:val="21"/>
    </w:rPr>
  </w:style>
  <w:style w:type="table" w:customStyle="1" w:styleId="14">
    <w:name w:val="Table Normal"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5">
    <w:name w:val="List Paragraph"/>
    <w:basedOn w:val="1"/>
    <w:qFormat/>
    <w:uiPriority w:val="1"/>
    <w:pPr>
      <w:ind w:left="220" w:right="589"/>
    </w:pPr>
    <w:rPr>
      <w:rFonts w:ascii="楷体" w:hAnsi="楷体" w:eastAsia="楷体" w:cs="楷体"/>
      <w:lang w:val="en-US" w:eastAsia="zh-CN" w:bidi="ar-SA"/>
    </w:rPr>
  </w:style>
  <w:style w:type="paragraph" w:customStyle="1" w:styleId="16">
    <w:name w:val="Table Paragraph"/>
    <w:basedOn w:val="1"/>
    <w:qFormat/>
    <w:uiPriority w:val="1"/>
    <w:rPr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txDef>
      <a:spPr>
        <a:noFill/>
        <a:ln w="6350">
          <a:noFill/>
        </a:ln>
      </a:spPr>
      <a:bodyPr rot="0" vertOverflow="overflow" horzOverflow="overflow" vert="horz" wrap="square" lIns="0" tIns="0" rIns="0" bIns="0" numCol="1" spcCol="0" rtlCol="0" fromWordArt="0" anchor="ctr" anchorCtr="0" forceAA="0" compatLnSpc="1"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dk1"/>
        </a:fontRef>
      </a:style>
    </a:tx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0</Pages>
  <Words>0</Words>
  <Characters>0</Characters>
  <Lines>0</Lines>
  <Paragraphs>0</Paragraphs>
  <TotalTime>12</TotalTime>
  <ScaleCrop>false</ScaleCrop>
  <LinksUpToDate>false</LinksUpToDate>
  <CharactersWithSpaces>0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2021-05-28T13:01:00Z</dcterms:created>
  <dc:creator>王 鑫淼</dc:creator>
  <cp:lastModifiedBy>Iseria</cp:lastModifiedBy>
  <cp:lastPrinted>2022-03-09T03:13:00Z</cp:lastPrinted>
  <dcterms:modified xsi:type="dcterms:W3CDTF">2022-03-09T13:05:53Z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2021-05-28T00:00:00Z</vt:filetime>
  </property>
  <property fmtid="{D5CDD505-2E9C-101B-9397-08002B2CF9AE}" pid="3" name="Creator">
    <vt:lpwstr>WPS 文字</vt:lpwstr>
  </property>
  <property fmtid="{D5CDD505-2E9C-101B-9397-08002B2CF9AE}" pid="4" name="LastSaved">
    <vt:filetime>2021-05-28T00:00:00Z</vt:filetime>
  </property>
  <property fmtid="{D5CDD505-2E9C-101B-9397-08002B2CF9AE}" pid="5" name="KSOProductBuildVer">
    <vt:lpwstr>2052-11.1.0.11365</vt:lpwstr>
  </property>
  <property fmtid="{D5CDD505-2E9C-101B-9397-08002B2CF9AE}" pid="6" name="ICV">
    <vt:lpwstr>02FC31C1AB284DA18807F08D3B513840</vt:lpwstr>
  </property>
  <property fmtid="{D5CDD505-2E9C-101B-9397-08002B2CF9AE}" pid="7" name="KSOSaveFontToCloudKey">
    <vt:lpwstr>30064051_embed</vt:lpwstr>
  </property>
</Properties>
</file>